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738C0" w14:textId="7A358AFB" w:rsidR="00556E63" w:rsidRDefault="004A3621">
      <w:r w:rsidRPr="004A3621">
        <w:t>Solicitation Number Q26001387</w:t>
      </w:r>
      <w:r>
        <w:br/>
      </w:r>
      <w:r w:rsidRPr="004A3621">
        <w:t>Fetal Mortality Review Coordinator</w:t>
      </w:r>
      <w:r>
        <w:br/>
        <w:t>Amendment 1</w:t>
      </w:r>
    </w:p>
    <w:p w14:paraId="6D317351" w14:textId="77777777" w:rsidR="004A3621" w:rsidRDefault="004A3621"/>
    <w:p w14:paraId="08FFD0B5" w14:textId="77777777" w:rsidR="002502C3" w:rsidRDefault="002502C3" w:rsidP="002502C3">
      <w:pPr>
        <w:pStyle w:val="ListParagraph"/>
        <w:numPr>
          <w:ilvl w:val="0"/>
          <w:numId w:val="1"/>
        </w:numPr>
        <w:rPr>
          <w:rFonts w:eastAsia="Times New Roman"/>
          <w:szCs w:val="24"/>
        </w:rPr>
      </w:pPr>
      <w:r>
        <w:rPr>
          <w:rFonts w:eastAsia="Times New Roman"/>
          <w:szCs w:val="24"/>
        </w:rPr>
        <w:t>D</w:t>
      </w:r>
      <w:r w:rsidRPr="00863A86">
        <w:rPr>
          <w:rFonts w:eastAsia="Times New Roman"/>
          <w:szCs w:val="24"/>
        </w:rPr>
        <w:t>oes the DOH have a specific target number or percentage of cases to be reviewed annually (e.g., a sentinel event approach or a random sampling)</w:t>
      </w:r>
      <w:r>
        <w:rPr>
          <w:rFonts w:eastAsia="Times New Roman"/>
          <w:szCs w:val="24"/>
        </w:rPr>
        <w:t>?</w:t>
      </w:r>
    </w:p>
    <w:p w14:paraId="58F67776" w14:textId="77777777" w:rsidR="002502C3" w:rsidRPr="002502C3" w:rsidRDefault="002502C3" w:rsidP="002502C3">
      <w:pPr>
        <w:pStyle w:val="ListParagraph"/>
        <w:rPr>
          <w:rFonts w:eastAsia="Times New Roman"/>
          <w:color w:val="3A7C22" w:themeColor="accent6" w:themeShade="BF"/>
          <w:szCs w:val="24"/>
        </w:rPr>
      </w:pPr>
      <w:r w:rsidRPr="002502C3">
        <w:rPr>
          <w:rFonts w:eastAsia="Times New Roman"/>
          <w:color w:val="3A7C22" w:themeColor="accent6" w:themeShade="BF"/>
          <w:szCs w:val="24"/>
        </w:rPr>
        <w:t>-The DOH target is to review at least 50% of the cases annually with focus on sentinel events, using a community-based, multidisciplinary process to investigate fetal deaths, identifying system failures that led to loss, not individual errors, to implement changes for prevention, including family interviews and community action groups.</w:t>
      </w:r>
    </w:p>
    <w:p w14:paraId="0251BD31" w14:textId="77777777" w:rsidR="002502C3" w:rsidRPr="00863A86" w:rsidRDefault="002502C3" w:rsidP="002502C3">
      <w:pPr>
        <w:pStyle w:val="ListParagraph"/>
        <w:rPr>
          <w:rFonts w:eastAsia="Times New Roman"/>
          <w:szCs w:val="24"/>
        </w:rPr>
      </w:pPr>
    </w:p>
    <w:p w14:paraId="14D3B3AE" w14:textId="77777777" w:rsidR="002502C3" w:rsidRDefault="002502C3" w:rsidP="002502C3">
      <w:pPr>
        <w:pStyle w:val="ListParagraph"/>
        <w:numPr>
          <w:ilvl w:val="0"/>
          <w:numId w:val="1"/>
        </w:numPr>
        <w:spacing w:after="0" w:line="240" w:lineRule="auto"/>
        <w:rPr>
          <w:rFonts w:eastAsia="Times New Roman"/>
          <w:szCs w:val="24"/>
        </w:rPr>
      </w:pPr>
      <w:r w:rsidRPr="00863A86">
        <w:rPr>
          <w:rFonts w:eastAsia="Times New Roman"/>
          <w:szCs w:val="24"/>
        </w:rPr>
        <w:t>Does the Department envision the Awardee personally conducting the clinical abstractions and maternal interviews, or is the Awardee’s primary role to design the protocol and oversee the training of existing clinical staff (such as Public Health Nurses or hospital designees) who will perform the direct data collection? </w:t>
      </w:r>
    </w:p>
    <w:p w14:paraId="18A0DA81" w14:textId="77777777" w:rsidR="002502C3" w:rsidRPr="002502C3" w:rsidRDefault="002502C3" w:rsidP="002502C3">
      <w:pPr>
        <w:pStyle w:val="ListParagraph"/>
        <w:spacing w:after="0" w:line="240" w:lineRule="auto"/>
        <w:rPr>
          <w:rFonts w:eastAsia="Times New Roman"/>
          <w:color w:val="3A7C22" w:themeColor="accent6" w:themeShade="BF"/>
          <w:szCs w:val="24"/>
        </w:rPr>
      </w:pPr>
      <w:r w:rsidRPr="002502C3">
        <w:rPr>
          <w:rFonts w:eastAsia="Times New Roman"/>
          <w:color w:val="3A7C22" w:themeColor="accent6" w:themeShade="BF"/>
          <w:szCs w:val="24"/>
        </w:rPr>
        <w:t>-The DOH is looking for a vendor that will be able to establish a team to conduct the clinical abstractions and maternal interviews. The protocol and training should be provided by the National Center from Fatality Review and Prevention.</w:t>
      </w:r>
    </w:p>
    <w:p w14:paraId="6DEB4B7F" w14:textId="77777777" w:rsidR="002502C3" w:rsidRDefault="002502C3" w:rsidP="002502C3">
      <w:pPr>
        <w:pStyle w:val="ListParagraph"/>
        <w:spacing w:after="0" w:line="240" w:lineRule="auto"/>
        <w:rPr>
          <w:rFonts w:eastAsia="Times New Roman"/>
          <w:szCs w:val="24"/>
        </w:rPr>
      </w:pPr>
    </w:p>
    <w:p w14:paraId="76BC2FA9" w14:textId="77777777" w:rsidR="002502C3" w:rsidRDefault="002502C3" w:rsidP="002502C3">
      <w:pPr>
        <w:pStyle w:val="ListParagraph"/>
        <w:numPr>
          <w:ilvl w:val="0"/>
          <w:numId w:val="1"/>
        </w:numPr>
        <w:rPr>
          <w:rFonts w:eastAsia="Times New Roman"/>
          <w:szCs w:val="24"/>
        </w:rPr>
      </w:pPr>
      <w:r w:rsidRPr="00521549">
        <w:rPr>
          <w:rFonts w:eastAsia="Times New Roman"/>
          <w:szCs w:val="24"/>
        </w:rPr>
        <w:t>The SOW requires implementation of the FMR at “birthing hospital(s)”. Have Data Use Agreements (DUAs) or Memoranda of Understanding (MOUs) regarding access to medical records already been established between the DOH and these facilities, or will the selected Awardee be responsible for initiating and negotiating these legal access agreements? </w:t>
      </w:r>
    </w:p>
    <w:p w14:paraId="2C7D4F39" w14:textId="77777777" w:rsidR="002502C3" w:rsidRPr="00521549" w:rsidRDefault="002502C3" w:rsidP="002502C3">
      <w:pPr>
        <w:pStyle w:val="ListParagraph"/>
        <w:rPr>
          <w:rFonts w:eastAsia="Times New Roman"/>
          <w:color w:val="3A7C22" w:themeColor="accent6" w:themeShade="BF"/>
          <w:szCs w:val="24"/>
        </w:rPr>
      </w:pPr>
      <w:r w:rsidRPr="002502C3">
        <w:rPr>
          <w:rFonts w:eastAsia="Times New Roman"/>
          <w:color w:val="3A7C22" w:themeColor="accent6" w:themeShade="BF"/>
          <w:szCs w:val="24"/>
        </w:rPr>
        <w:t>-</w:t>
      </w:r>
      <w:r w:rsidRPr="00521549">
        <w:rPr>
          <w:rFonts w:eastAsia="Times New Roman"/>
          <w:color w:val="3A7C22" w:themeColor="accent6" w:themeShade="BF"/>
          <w:szCs w:val="24"/>
        </w:rPr>
        <w:t>No, DUAs and MOUs have not been established between DOH and birthing hospitals. Yes, the selected awardee will be responsible for initiating and negotiating the legal access agreements.</w:t>
      </w:r>
    </w:p>
    <w:p w14:paraId="38A33AB4" w14:textId="77777777" w:rsidR="004A3621" w:rsidRDefault="004A3621"/>
    <w:p w14:paraId="6A7DC698" w14:textId="77777777" w:rsidR="004A3621" w:rsidRDefault="004A3621"/>
    <w:sectPr w:rsidR="004A362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BE3912"/>
    <w:multiLevelType w:val="hybridMultilevel"/>
    <w:tmpl w:val="59AEF7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809023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621"/>
    <w:rsid w:val="00082152"/>
    <w:rsid w:val="00240A7F"/>
    <w:rsid w:val="002502C3"/>
    <w:rsid w:val="004A3621"/>
    <w:rsid w:val="00556E63"/>
    <w:rsid w:val="007345BC"/>
    <w:rsid w:val="00784959"/>
    <w:rsid w:val="008F2E55"/>
    <w:rsid w:val="009F6990"/>
    <w:rsid w:val="00DB1E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A21A8"/>
  <w15:chartTrackingRefBased/>
  <w15:docId w15:val="{0E8A5E83-524C-41FF-B26B-A8A55CF7C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4"/>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36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A36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A362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A362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4A3621"/>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4A362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4A362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4A362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4A362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362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A362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A3621"/>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A3621"/>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4A3621"/>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4A3621"/>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4A3621"/>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4A3621"/>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4A3621"/>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4A36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362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3621"/>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3621"/>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4A3621"/>
    <w:pPr>
      <w:spacing w:before="160"/>
      <w:jc w:val="center"/>
    </w:pPr>
    <w:rPr>
      <w:i/>
      <w:iCs/>
      <w:color w:val="404040" w:themeColor="text1" w:themeTint="BF"/>
    </w:rPr>
  </w:style>
  <w:style w:type="character" w:customStyle="1" w:styleId="QuoteChar">
    <w:name w:val="Quote Char"/>
    <w:basedOn w:val="DefaultParagraphFont"/>
    <w:link w:val="Quote"/>
    <w:uiPriority w:val="29"/>
    <w:rsid w:val="004A3621"/>
    <w:rPr>
      <w:i/>
      <w:iCs/>
      <w:color w:val="404040" w:themeColor="text1" w:themeTint="BF"/>
    </w:rPr>
  </w:style>
  <w:style w:type="paragraph" w:styleId="ListParagraph">
    <w:name w:val="List Paragraph"/>
    <w:basedOn w:val="Normal"/>
    <w:uiPriority w:val="34"/>
    <w:qFormat/>
    <w:rsid w:val="004A3621"/>
    <w:pPr>
      <w:ind w:left="720"/>
      <w:contextualSpacing/>
    </w:pPr>
  </w:style>
  <w:style w:type="character" w:styleId="IntenseEmphasis">
    <w:name w:val="Intense Emphasis"/>
    <w:basedOn w:val="DefaultParagraphFont"/>
    <w:uiPriority w:val="21"/>
    <w:qFormat/>
    <w:rsid w:val="004A3621"/>
    <w:rPr>
      <w:i/>
      <w:iCs/>
      <w:color w:val="0F4761" w:themeColor="accent1" w:themeShade="BF"/>
    </w:rPr>
  </w:style>
  <w:style w:type="paragraph" w:styleId="IntenseQuote">
    <w:name w:val="Intense Quote"/>
    <w:basedOn w:val="Normal"/>
    <w:next w:val="Normal"/>
    <w:link w:val="IntenseQuoteChar"/>
    <w:uiPriority w:val="30"/>
    <w:qFormat/>
    <w:rsid w:val="004A36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A3621"/>
    <w:rPr>
      <w:i/>
      <w:iCs/>
      <w:color w:val="0F4761" w:themeColor="accent1" w:themeShade="BF"/>
    </w:rPr>
  </w:style>
  <w:style w:type="character" w:styleId="IntenseReference">
    <w:name w:val="Intense Reference"/>
    <w:basedOn w:val="DefaultParagraphFont"/>
    <w:uiPriority w:val="32"/>
    <w:qFormat/>
    <w:rsid w:val="004A362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4925924">
      <w:bodyDiv w:val="1"/>
      <w:marLeft w:val="0"/>
      <w:marRight w:val="0"/>
      <w:marTop w:val="0"/>
      <w:marBottom w:val="0"/>
      <w:divBdr>
        <w:top w:val="none" w:sz="0" w:space="0" w:color="auto"/>
        <w:left w:val="none" w:sz="0" w:space="0" w:color="auto"/>
        <w:bottom w:val="none" w:sz="0" w:space="0" w:color="auto"/>
        <w:right w:val="none" w:sz="0" w:space="0" w:color="auto"/>
      </w:divBdr>
      <w:divsChild>
        <w:div w:id="1194270098">
          <w:marLeft w:val="-225"/>
          <w:marRight w:val="-225"/>
          <w:marTop w:val="0"/>
          <w:marBottom w:val="0"/>
          <w:divBdr>
            <w:top w:val="none" w:sz="0" w:space="0" w:color="auto"/>
            <w:left w:val="none" w:sz="0" w:space="0" w:color="auto"/>
            <w:bottom w:val="none" w:sz="0" w:space="0" w:color="auto"/>
            <w:right w:val="none" w:sz="0" w:space="0" w:color="auto"/>
          </w:divBdr>
          <w:divsChild>
            <w:div w:id="1600061642">
              <w:marLeft w:val="0"/>
              <w:marRight w:val="0"/>
              <w:marTop w:val="0"/>
              <w:marBottom w:val="0"/>
              <w:divBdr>
                <w:top w:val="none" w:sz="0" w:space="0" w:color="auto"/>
                <w:left w:val="none" w:sz="0" w:space="0" w:color="auto"/>
                <w:bottom w:val="none" w:sz="0" w:space="0" w:color="auto"/>
                <w:right w:val="none" w:sz="0" w:space="0" w:color="auto"/>
              </w:divBdr>
              <w:divsChild>
                <w:div w:id="1543052606">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2050447646">
      <w:bodyDiv w:val="1"/>
      <w:marLeft w:val="0"/>
      <w:marRight w:val="0"/>
      <w:marTop w:val="0"/>
      <w:marBottom w:val="0"/>
      <w:divBdr>
        <w:top w:val="none" w:sz="0" w:space="0" w:color="auto"/>
        <w:left w:val="none" w:sz="0" w:space="0" w:color="auto"/>
        <w:bottom w:val="none" w:sz="0" w:space="0" w:color="auto"/>
        <w:right w:val="none" w:sz="0" w:space="0" w:color="auto"/>
      </w:divBdr>
      <w:divsChild>
        <w:div w:id="1401367853">
          <w:marLeft w:val="-225"/>
          <w:marRight w:val="-225"/>
          <w:marTop w:val="0"/>
          <w:marBottom w:val="0"/>
          <w:divBdr>
            <w:top w:val="none" w:sz="0" w:space="0" w:color="auto"/>
            <w:left w:val="none" w:sz="0" w:space="0" w:color="auto"/>
            <w:bottom w:val="none" w:sz="0" w:space="0" w:color="auto"/>
            <w:right w:val="none" w:sz="0" w:space="0" w:color="auto"/>
          </w:divBdr>
          <w:divsChild>
            <w:div w:id="1714236024">
              <w:marLeft w:val="0"/>
              <w:marRight w:val="0"/>
              <w:marTop w:val="0"/>
              <w:marBottom w:val="0"/>
              <w:divBdr>
                <w:top w:val="none" w:sz="0" w:space="0" w:color="auto"/>
                <w:left w:val="none" w:sz="0" w:space="0" w:color="auto"/>
                <w:bottom w:val="none" w:sz="0" w:space="0" w:color="auto"/>
                <w:right w:val="none" w:sz="0" w:space="0" w:color="auto"/>
              </w:divBdr>
              <w:divsChild>
                <w:div w:id="1302224912">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247</Words>
  <Characters>1410</Characters>
  <Application>Microsoft Office Word</Application>
  <DocSecurity>0</DocSecurity>
  <Lines>11</Lines>
  <Paragraphs>3</Paragraphs>
  <ScaleCrop>false</ScaleCrop>
  <Company/>
  <LinksUpToDate>false</LinksUpToDate>
  <CharactersWithSpaces>1654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Berberich, Samantha</dc:creator>
  <cp:keywords/>
  <dc:description/>
  <cp:lastModifiedBy>Berberich, Samantha</cp:lastModifiedBy>
  <cp:revision>2</cp:revision>
  <dcterms:created xsi:type="dcterms:W3CDTF">2025-12-29T18:13:00Z</dcterms:created>
  <dcterms:modified xsi:type="dcterms:W3CDTF">2025-12-29T18:14:00Z</dcterms:modified>
</cp:coreProperties>
</file>